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54328" w14:textId="04CE2FC0" w:rsidR="00C9282F" w:rsidRPr="00C9282F" w:rsidRDefault="00C9282F" w:rsidP="00C9282F">
      <w:pPr>
        <w:spacing w:after="0"/>
        <w:jc w:val="center"/>
        <w:rPr>
          <w:b/>
          <w:bCs/>
          <w:sz w:val="44"/>
          <w:szCs w:val="44"/>
        </w:rPr>
      </w:pPr>
      <w:r w:rsidRPr="00C9282F">
        <w:rPr>
          <w:b/>
          <w:bCs/>
          <w:sz w:val="44"/>
          <w:szCs w:val="44"/>
        </w:rPr>
        <w:t>SOCRATIC SEMINARS</w:t>
      </w:r>
    </w:p>
    <w:p w14:paraId="2FED09F9" w14:textId="60DD748A" w:rsidR="00C9282F" w:rsidRDefault="00C9282F" w:rsidP="00C9282F">
      <w:pPr>
        <w:jc w:val="center"/>
      </w:pPr>
      <w:r>
        <w:t xml:space="preserve">…as defined and explained by Israel, E. (2002).  </w:t>
      </w:r>
    </w:p>
    <w:p w14:paraId="3FBD940A" w14:textId="4676C678" w:rsidR="00774947" w:rsidRDefault="00C9282F" w:rsidP="00C9282F">
      <w:pPr>
        <w:jc w:val="center"/>
      </w:pPr>
      <w:r>
        <w:t xml:space="preserve">In </w:t>
      </w:r>
      <w:r w:rsidRPr="00C9282F">
        <w:rPr>
          <w:i/>
          <w:iCs/>
        </w:rPr>
        <w:t>Read</w:t>
      </w:r>
      <w:r>
        <w:rPr>
          <w:i/>
          <w:iCs/>
        </w:rPr>
        <w:t xml:space="preserve"> </w:t>
      </w:r>
      <w:r w:rsidRPr="00C9282F">
        <w:rPr>
          <w:i/>
          <w:iCs/>
        </w:rPr>
        <w:t>Write</w:t>
      </w:r>
      <w:r>
        <w:rPr>
          <w:i/>
          <w:iCs/>
        </w:rPr>
        <w:t xml:space="preserve"> </w:t>
      </w:r>
      <w:r w:rsidRPr="00C9282F">
        <w:rPr>
          <w:i/>
          <w:iCs/>
        </w:rPr>
        <w:t>Think</w:t>
      </w:r>
      <w:r>
        <w:t xml:space="preserve"> online: by The National Council of Teachers of English</w:t>
      </w:r>
    </w:p>
    <w:p w14:paraId="2F109197" w14:textId="554A4313" w:rsidR="00C9282F" w:rsidRPr="00C9282F" w:rsidRDefault="00C9282F" w:rsidP="00C9282F">
      <w:pPr>
        <w:shd w:val="clear" w:color="auto" w:fill="FFFFFF"/>
        <w:spacing w:before="100" w:beforeAutospacing="1" w:after="100" w:afterAutospacing="1" w:line="240" w:lineRule="auto"/>
        <w:textAlignment w:val="baseline"/>
        <w:rPr>
          <w:rFonts w:eastAsia="Times New Roman" w:cs="Times New Roman"/>
          <w:kern w:val="0"/>
          <w:sz w:val="29"/>
          <w:szCs w:val="29"/>
          <w14:ligatures w14:val="none"/>
        </w:rPr>
      </w:pPr>
      <w:r w:rsidRPr="00C9282F">
        <w:rPr>
          <w:rFonts w:eastAsia="Times New Roman" w:cs="Times New Roman"/>
          <w:kern w:val="0"/>
          <w:sz w:val="29"/>
          <w:szCs w:val="29"/>
          <w14:ligatures w14:val="none"/>
        </w:rPr>
        <w:t xml:space="preserve">Socratic seminars are named for their embodiment of Socrates’ belief in the power of asking questions, prize inquiry over information and discussion over debate.   Socratic seminars acknowledge the highly social nature of learning and align with the work of John Dewey, Lev Vygotsky, Jean Piaget, and Paulo </w:t>
      </w:r>
      <w:proofErr w:type="spellStart"/>
      <w:r w:rsidRPr="00C9282F">
        <w:rPr>
          <w:rFonts w:eastAsia="Times New Roman" w:cs="Times New Roman"/>
          <w:kern w:val="0"/>
          <w:sz w:val="29"/>
          <w:szCs w:val="29"/>
          <w14:ligatures w14:val="none"/>
        </w:rPr>
        <w:t>Friere</w:t>
      </w:r>
      <w:proofErr w:type="spellEnd"/>
      <w:r w:rsidRPr="00C9282F">
        <w:rPr>
          <w:rFonts w:eastAsia="Times New Roman" w:cs="Times New Roman"/>
          <w:kern w:val="0"/>
          <w:sz w:val="29"/>
          <w:szCs w:val="29"/>
          <w14:ligatures w14:val="none"/>
        </w:rPr>
        <w:t>.</w:t>
      </w:r>
    </w:p>
    <w:p w14:paraId="6073CB47" w14:textId="750A8089" w:rsidR="00C9282F" w:rsidRPr="00C9282F" w:rsidRDefault="00C9282F" w:rsidP="00C9282F">
      <w:pPr>
        <w:spacing w:before="100" w:beforeAutospacing="1" w:after="100" w:afterAutospacing="1" w:line="240" w:lineRule="auto"/>
        <w:textAlignment w:val="baseline"/>
        <w:rPr>
          <w:rFonts w:eastAsia="Times New Roman" w:cs="Times New Roman"/>
          <w:b/>
          <w:bCs/>
          <w:kern w:val="0"/>
          <w:sz w:val="29"/>
          <w:szCs w:val="29"/>
          <w14:ligatures w14:val="none"/>
        </w:rPr>
      </w:pPr>
      <w:r w:rsidRPr="00C9282F">
        <w:rPr>
          <w:rFonts w:eastAsia="Times New Roman" w:cs="Times New Roman"/>
          <w:b/>
          <w:bCs/>
          <w:kern w:val="0"/>
          <w:sz w:val="29"/>
          <w:szCs w:val="29"/>
          <w14:ligatures w14:val="none"/>
        </w:rPr>
        <w:t>Israel, Elfie.  “Examining Multiple Perspectives in Literature.”  In </w:t>
      </w:r>
      <w:r w:rsidRPr="00C9282F">
        <w:rPr>
          <w:rFonts w:eastAsia="Times New Roman" w:cs="Times New Roman"/>
          <w:b/>
          <w:bCs/>
          <w:i/>
          <w:iCs/>
          <w:kern w:val="0"/>
          <w:sz w:val="29"/>
          <w:szCs w:val="29"/>
          <w:bdr w:val="none" w:sz="0" w:space="0" w:color="auto" w:frame="1"/>
          <w14:ligatures w14:val="none"/>
        </w:rPr>
        <w:t xml:space="preserve">Inquiry and the Literary Text: Constructing Discussions </w:t>
      </w:r>
      <w:proofErr w:type="spellStart"/>
      <w:r w:rsidRPr="00C9282F">
        <w:rPr>
          <w:rFonts w:eastAsia="Times New Roman" w:cs="Times New Roman"/>
          <w:b/>
          <w:bCs/>
          <w:i/>
          <w:iCs/>
          <w:kern w:val="0"/>
          <w:sz w:val="29"/>
          <w:szCs w:val="29"/>
          <w:bdr w:val="none" w:sz="0" w:space="0" w:color="auto" w:frame="1"/>
          <w14:ligatures w14:val="none"/>
        </w:rPr>
        <w:t>n</w:t>
      </w:r>
      <w:proofErr w:type="spellEnd"/>
      <w:r w:rsidRPr="00C9282F">
        <w:rPr>
          <w:rFonts w:eastAsia="Times New Roman" w:cs="Times New Roman"/>
          <w:b/>
          <w:bCs/>
          <w:i/>
          <w:iCs/>
          <w:kern w:val="0"/>
          <w:sz w:val="29"/>
          <w:szCs w:val="29"/>
          <w:bdr w:val="none" w:sz="0" w:space="0" w:color="auto" w:frame="1"/>
          <w14:ligatures w14:val="none"/>
        </w:rPr>
        <w:t xml:space="preserve"> the English Classroom</w:t>
      </w:r>
      <w:r w:rsidRPr="00C9282F">
        <w:rPr>
          <w:rFonts w:eastAsia="Times New Roman" w:cs="Times New Roman"/>
          <w:b/>
          <w:bCs/>
          <w:kern w:val="0"/>
          <w:sz w:val="29"/>
          <w:szCs w:val="29"/>
          <w14:ligatures w14:val="none"/>
        </w:rPr>
        <w:t>.  James Holden and John S. Schmit, eds.  Urbana, IL: NCTE, 2002.</w:t>
      </w:r>
    </w:p>
    <w:p w14:paraId="66C95AE3" w14:textId="350627DB" w:rsidR="00C9282F" w:rsidRPr="00C9282F" w:rsidRDefault="00C9282F" w:rsidP="00C9282F">
      <w:pPr>
        <w:spacing w:before="100" w:beforeAutospacing="1" w:after="100" w:afterAutospacing="1" w:line="240" w:lineRule="auto"/>
        <w:textAlignment w:val="baseline"/>
        <w:rPr>
          <w:rFonts w:eastAsia="Times New Roman" w:cs="Times New Roman"/>
          <w:kern w:val="0"/>
          <w:sz w:val="29"/>
          <w:szCs w:val="29"/>
          <w14:ligatures w14:val="none"/>
        </w:rPr>
      </w:pPr>
      <w:r w:rsidRPr="00C9282F">
        <w:rPr>
          <w:rFonts w:eastAsia="Times New Roman" w:cs="Times New Roman"/>
          <w:kern w:val="0"/>
          <w:sz w:val="29"/>
          <w:szCs w:val="29"/>
          <w14:ligatures w14:val="none"/>
        </w:rPr>
        <w:t xml:space="preserve">The Socratic seminar is a formal discussion, based on a text, in which the leader asks open-ended questions.  Within the context of the discussion, students listen closely to the comments of others, thinking critically for themselves, and articulate their own thoughts and their responses to the thoughts of others.  They learn to work cooperatively and to question intelligently and civilly.  The following </w:t>
      </w:r>
    </w:p>
    <w:p w14:paraId="725D6957" w14:textId="77777777" w:rsidR="00C9282F" w:rsidRPr="00C9282F" w:rsidRDefault="00C9282F" w:rsidP="00C9282F">
      <w:pPr>
        <w:spacing w:before="100" w:beforeAutospacing="1" w:after="100" w:afterAutospacing="1" w:line="240" w:lineRule="auto"/>
        <w:textAlignment w:val="baseline"/>
        <w:rPr>
          <w:rFonts w:eastAsia="Times New Roman" w:cs="Times New Roman"/>
          <w:kern w:val="0"/>
          <w:sz w:val="29"/>
          <w:szCs w:val="29"/>
          <w14:ligatures w14:val="none"/>
        </w:rPr>
      </w:pPr>
      <w:r w:rsidRPr="00C9282F">
        <w:rPr>
          <w:rFonts w:eastAsia="Times New Roman" w:cs="Times New Roman"/>
          <w:kern w:val="0"/>
          <w:sz w:val="29"/>
          <w:szCs w:val="29"/>
          <w14:ligatures w14:val="none"/>
        </w:rPr>
        <w:t> </w:t>
      </w:r>
    </w:p>
    <w:p w14:paraId="049F26CB" w14:textId="77777777" w:rsidR="00C9282F" w:rsidRPr="00C9282F" w:rsidRDefault="00C9282F" w:rsidP="00C9282F">
      <w:pPr>
        <w:shd w:val="clear" w:color="auto" w:fill="8E8E8E"/>
        <w:spacing w:after="0" w:line="240" w:lineRule="auto"/>
        <w:jc w:val="center"/>
        <w:textAlignment w:val="baseline"/>
        <w:outlineLvl w:val="1"/>
        <w:rPr>
          <w:rFonts w:eastAsia="Times New Roman" w:cs="Times New Roman"/>
          <w:b/>
          <w:bCs/>
          <w:caps/>
          <w:kern w:val="0"/>
          <w:sz w:val="36"/>
          <w:szCs w:val="36"/>
          <w14:ligatures w14:val="none"/>
        </w:rPr>
      </w:pPr>
      <w:r w:rsidRPr="00C9282F">
        <w:rPr>
          <w:rFonts w:eastAsia="Times New Roman" w:cs="Times New Roman"/>
          <w:b/>
          <w:bCs/>
          <w:caps/>
          <w:kern w:val="0"/>
          <w:sz w:val="36"/>
          <w:szCs w:val="36"/>
          <w:highlight w:val="lightGray"/>
          <w14:ligatures w14:val="none"/>
        </w:rPr>
        <w:t>STRATEGY IN PRACTICE</w:t>
      </w:r>
    </w:p>
    <w:p w14:paraId="689FFAB5" w14:textId="77777777" w:rsidR="00C9282F" w:rsidRPr="00C9282F" w:rsidRDefault="00C9282F" w:rsidP="00C9282F">
      <w:pPr>
        <w:numPr>
          <w:ilvl w:val="0"/>
          <w:numId w:val="1"/>
        </w:numPr>
        <w:spacing w:before="100" w:beforeAutospacing="1" w:after="100" w:afterAutospacing="1" w:line="240" w:lineRule="auto"/>
        <w:textAlignment w:val="baseline"/>
        <w:rPr>
          <w:rFonts w:eastAsia="Times New Roman" w:cs="Times New Roman"/>
          <w:kern w:val="0"/>
          <w:sz w:val="29"/>
          <w:szCs w:val="29"/>
          <w14:ligatures w14:val="none"/>
        </w:rPr>
      </w:pPr>
      <w:r w:rsidRPr="0091711B">
        <w:rPr>
          <w:rFonts w:eastAsia="Times New Roman" w:cs="Times New Roman"/>
          <w:b/>
          <w:bCs/>
          <w:kern w:val="0"/>
          <w:sz w:val="29"/>
          <w:szCs w:val="29"/>
          <w:u w:val="single"/>
          <w:bdr w:val="none" w:sz="0" w:space="0" w:color="auto" w:frame="1"/>
          <w14:ligatures w14:val="none"/>
        </w:rPr>
        <w:t>Choosing a text</w:t>
      </w:r>
      <w:r w:rsidRPr="00C9282F">
        <w:rPr>
          <w:rFonts w:eastAsia="Times New Roman" w:cs="Times New Roman"/>
          <w:kern w:val="0"/>
          <w:sz w:val="29"/>
          <w:szCs w:val="29"/>
          <w14:ligatures w14:val="none"/>
        </w:rPr>
        <w:t>:  Socratic seminars work best with authentic texts that invite authentic inquiry—an ambiguous and appealing short story, a pair of contrasting primary documents in social studies, or an article on a controversial approach to an ongoing scientific problem.</w:t>
      </w:r>
    </w:p>
    <w:p w14:paraId="5C61DE19" w14:textId="77777777" w:rsidR="00C9282F" w:rsidRDefault="00C9282F" w:rsidP="00C9282F">
      <w:pPr>
        <w:numPr>
          <w:ilvl w:val="0"/>
          <w:numId w:val="2"/>
        </w:numPr>
        <w:spacing w:before="100" w:beforeAutospacing="1" w:after="100" w:afterAutospacing="1" w:line="240" w:lineRule="auto"/>
        <w:textAlignment w:val="baseline"/>
        <w:rPr>
          <w:rFonts w:eastAsia="Times New Roman" w:cs="Times New Roman"/>
          <w:kern w:val="0"/>
          <w:sz w:val="29"/>
          <w:szCs w:val="29"/>
          <w14:ligatures w14:val="none"/>
        </w:rPr>
      </w:pPr>
      <w:r w:rsidRPr="0091711B">
        <w:rPr>
          <w:rFonts w:eastAsia="Times New Roman" w:cs="Times New Roman"/>
          <w:b/>
          <w:bCs/>
          <w:kern w:val="0"/>
          <w:sz w:val="29"/>
          <w:szCs w:val="29"/>
          <w:u w:val="single"/>
          <w:bdr w:val="none" w:sz="0" w:space="0" w:color="auto" w:frame="1"/>
          <w14:ligatures w14:val="none"/>
        </w:rPr>
        <w:t>Preparing the students</w:t>
      </w:r>
      <w:r w:rsidRPr="00C9282F">
        <w:rPr>
          <w:rFonts w:eastAsia="Times New Roman" w:cs="Times New Roman"/>
          <w:kern w:val="0"/>
          <w:sz w:val="29"/>
          <w:szCs w:val="29"/>
          <w14:ligatures w14:val="none"/>
        </w:rPr>
        <w:t>: While students should read carefully and prepare well for every class session, it is usually best to tell students ahead of time when they will be expected to participate in a Socratic seminar. Because seminars ask students to keep focusing back on the text, you may distribute sticky notes for students to use to annotate the text as they read.</w:t>
      </w:r>
    </w:p>
    <w:p w14:paraId="0B35C6E1" w14:textId="77777777" w:rsidR="00C9282F" w:rsidRDefault="00C9282F" w:rsidP="00C9282F">
      <w:pPr>
        <w:spacing w:before="100" w:beforeAutospacing="1" w:after="100" w:afterAutospacing="1" w:line="240" w:lineRule="auto"/>
        <w:textAlignment w:val="baseline"/>
        <w:rPr>
          <w:rFonts w:eastAsia="Times New Roman" w:cs="Times New Roman"/>
          <w:kern w:val="0"/>
          <w:sz w:val="29"/>
          <w:szCs w:val="29"/>
          <w14:ligatures w14:val="none"/>
        </w:rPr>
      </w:pPr>
    </w:p>
    <w:p w14:paraId="1A45B8A1" w14:textId="77777777" w:rsidR="00C9282F" w:rsidRDefault="00C9282F" w:rsidP="00C9282F">
      <w:pPr>
        <w:spacing w:before="100" w:beforeAutospacing="1" w:after="100" w:afterAutospacing="1" w:line="240" w:lineRule="auto"/>
        <w:textAlignment w:val="baseline"/>
        <w:rPr>
          <w:rFonts w:eastAsia="Times New Roman" w:cs="Times New Roman"/>
          <w:kern w:val="0"/>
          <w:sz w:val="29"/>
          <w:szCs w:val="29"/>
          <w14:ligatures w14:val="none"/>
        </w:rPr>
      </w:pPr>
    </w:p>
    <w:p w14:paraId="50771488" w14:textId="77777777" w:rsidR="00C9282F" w:rsidRDefault="00C9282F" w:rsidP="00C9282F">
      <w:pPr>
        <w:spacing w:before="100" w:beforeAutospacing="1" w:after="100" w:afterAutospacing="1" w:line="240" w:lineRule="auto"/>
        <w:textAlignment w:val="baseline"/>
        <w:rPr>
          <w:rFonts w:eastAsia="Times New Roman" w:cs="Times New Roman"/>
          <w:kern w:val="0"/>
          <w:sz w:val="29"/>
          <w:szCs w:val="29"/>
          <w14:ligatures w14:val="none"/>
        </w:rPr>
      </w:pPr>
    </w:p>
    <w:p w14:paraId="68BD1F17" w14:textId="69039A94" w:rsidR="00C9282F" w:rsidRPr="00C9282F" w:rsidRDefault="00C9282F" w:rsidP="00C9282F">
      <w:pPr>
        <w:spacing w:before="100" w:beforeAutospacing="1" w:after="100" w:afterAutospacing="1" w:line="240" w:lineRule="auto"/>
        <w:jc w:val="right"/>
        <w:textAlignment w:val="baseline"/>
        <w:rPr>
          <w:rFonts w:eastAsia="Times New Roman" w:cs="Times New Roman"/>
          <w:b/>
          <w:bCs/>
          <w:kern w:val="0"/>
          <w:sz w:val="29"/>
          <w:szCs w:val="29"/>
          <w14:ligatures w14:val="none"/>
        </w:rPr>
      </w:pPr>
      <w:r>
        <w:rPr>
          <w:rFonts w:eastAsia="Times New Roman" w:cs="Times New Roman"/>
          <w:b/>
          <w:bCs/>
          <w:kern w:val="0"/>
          <w:sz w:val="29"/>
          <w:szCs w:val="29"/>
          <w14:ligatures w14:val="none"/>
        </w:rPr>
        <w:lastRenderedPageBreak/>
        <w:t>-2-</w:t>
      </w:r>
    </w:p>
    <w:p w14:paraId="319257F3" w14:textId="77777777" w:rsidR="00C9282F" w:rsidRPr="00C9282F" w:rsidRDefault="00C9282F" w:rsidP="00C9282F">
      <w:pPr>
        <w:numPr>
          <w:ilvl w:val="0"/>
          <w:numId w:val="3"/>
        </w:numPr>
        <w:spacing w:beforeAutospacing="1" w:after="0" w:afterAutospacing="1" w:line="240" w:lineRule="auto"/>
        <w:textAlignment w:val="baseline"/>
        <w:rPr>
          <w:rFonts w:eastAsia="Times New Roman" w:cs="Times New Roman"/>
          <w:kern w:val="0"/>
          <w:sz w:val="29"/>
          <w:szCs w:val="29"/>
          <w14:ligatures w14:val="none"/>
        </w:rPr>
      </w:pPr>
      <w:r w:rsidRPr="0091711B">
        <w:rPr>
          <w:rFonts w:eastAsia="Times New Roman" w:cs="Times New Roman"/>
          <w:b/>
          <w:bCs/>
          <w:kern w:val="0"/>
          <w:sz w:val="29"/>
          <w:szCs w:val="29"/>
          <w:u w:val="single"/>
          <w:bdr w:val="none" w:sz="0" w:space="0" w:color="auto" w:frame="1"/>
          <w14:ligatures w14:val="none"/>
        </w:rPr>
        <w:t>Preparing the questions</w:t>
      </w:r>
      <w:r w:rsidRPr="00C9282F">
        <w:rPr>
          <w:rFonts w:eastAsia="Times New Roman" w:cs="Times New Roman"/>
          <w:kern w:val="0"/>
          <w:sz w:val="29"/>
          <w:szCs w:val="29"/>
          <w14:ligatures w14:val="none"/>
        </w:rPr>
        <w:t xml:space="preserve">:  Though students may eventually be given responsibility for running the entire session, the teacher usually fills the role of discussion leader as students learn about seminars and questioning.  Generate as many open-ended questions as possible, aiming for questions whose value lies in their exploration, not their answer.  Elfie Israel recommends starting and ending with questions that relate more directly to students’ </w:t>
      </w:r>
      <w:proofErr w:type="gramStart"/>
      <w:r w:rsidRPr="00C9282F">
        <w:rPr>
          <w:rFonts w:eastAsia="Times New Roman" w:cs="Times New Roman"/>
          <w:kern w:val="0"/>
          <w:sz w:val="29"/>
          <w:szCs w:val="29"/>
          <w14:ligatures w14:val="none"/>
        </w:rPr>
        <w:t>lives</w:t>
      </w:r>
      <w:proofErr w:type="gramEnd"/>
      <w:r w:rsidRPr="00C9282F">
        <w:rPr>
          <w:rFonts w:eastAsia="Times New Roman" w:cs="Times New Roman"/>
          <w:kern w:val="0"/>
          <w:sz w:val="29"/>
          <w:szCs w:val="29"/>
          <w14:ligatures w14:val="none"/>
        </w:rPr>
        <w:t xml:space="preserve"> so the entire conversation is rooted in the context of their real experiences.</w:t>
      </w:r>
    </w:p>
    <w:p w14:paraId="5644CA36" w14:textId="77777777" w:rsidR="00C9282F" w:rsidRPr="00C9282F" w:rsidRDefault="00C9282F" w:rsidP="00C9282F">
      <w:pPr>
        <w:numPr>
          <w:ilvl w:val="0"/>
          <w:numId w:val="4"/>
        </w:numPr>
        <w:spacing w:beforeAutospacing="1" w:after="0" w:afterAutospacing="1" w:line="240" w:lineRule="auto"/>
        <w:textAlignment w:val="baseline"/>
        <w:rPr>
          <w:rFonts w:eastAsia="Times New Roman" w:cs="Times New Roman"/>
          <w:kern w:val="0"/>
          <w:sz w:val="29"/>
          <w:szCs w:val="29"/>
          <w14:ligatures w14:val="none"/>
        </w:rPr>
      </w:pPr>
      <w:r w:rsidRPr="0091711B">
        <w:rPr>
          <w:rFonts w:eastAsia="Times New Roman" w:cs="Times New Roman"/>
          <w:b/>
          <w:bCs/>
          <w:kern w:val="0"/>
          <w:sz w:val="29"/>
          <w:szCs w:val="29"/>
          <w:u w:val="single"/>
          <w:bdr w:val="none" w:sz="0" w:space="0" w:color="auto" w:frame="1"/>
          <w14:ligatures w14:val="none"/>
        </w:rPr>
        <w:t>Establishing student expectations</w:t>
      </w:r>
      <w:r w:rsidRPr="00C9282F">
        <w:rPr>
          <w:rFonts w:eastAsia="Times New Roman" w:cs="Times New Roman"/>
          <w:kern w:val="0"/>
          <w:sz w:val="29"/>
          <w:szCs w:val="29"/>
          <w14:ligatures w14:val="none"/>
        </w:rPr>
        <w:t>:  Because student inquiry and thinking are central to the philosophy of Socratic seminars, it is an authentic move to include students integrally in the establishment of norms for the seminar.  Begin by asking students to differentiate between behaviors that characterize debate (persuasion, prepared rebuttals, clear sides) and those that characterize discussion (inquiry, responses that grow from the thoughts of others, communal spirit).  Ask students to hold themselves accountable for the norms they agree upon.</w:t>
      </w:r>
    </w:p>
    <w:p w14:paraId="280E57A7" w14:textId="77777777" w:rsidR="00C9282F" w:rsidRPr="00C9282F" w:rsidRDefault="00C9282F" w:rsidP="00C9282F">
      <w:pPr>
        <w:numPr>
          <w:ilvl w:val="0"/>
          <w:numId w:val="5"/>
        </w:numPr>
        <w:spacing w:beforeAutospacing="1" w:after="0" w:afterAutospacing="1" w:line="240" w:lineRule="auto"/>
        <w:textAlignment w:val="baseline"/>
        <w:rPr>
          <w:rFonts w:eastAsia="Times New Roman" w:cs="Times New Roman"/>
          <w:kern w:val="0"/>
          <w:sz w:val="29"/>
          <w:szCs w:val="29"/>
          <w14:ligatures w14:val="none"/>
        </w:rPr>
      </w:pPr>
      <w:r w:rsidRPr="0091711B">
        <w:rPr>
          <w:rFonts w:eastAsia="Times New Roman" w:cs="Times New Roman"/>
          <w:b/>
          <w:bCs/>
          <w:kern w:val="0"/>
          <w:sz w:val="29"/>
          <w:szCs w:val="29"/>
          <w:u w:val="single"/>
          <w:bdr w:val="none" w:sz="0" w:space="0" w:color="auto" w:frame="1"/>
          <w14:ligatures w14:val="none"/>
        </w:rPr>
        <w:t>Establishing your role</w:t>
      </w:r>
      <w:r w:rsidRPr="00C9282F">
        <w:rPr>
          <w:rFonts w:eastAsia="Times New Roman" w:cs="Times New Roman"/>
          <w:kern w:val="0"/>
          <w:sz w:val="29"/>
          <w:szCs w:val="29"/>
          <w14:ligatures w14:val="none"/>
        </w:rPr>
        <w:t>:  Though you may assume leadership through determining which open-ended questions students will explore (at first), the teacher should not see him or herself as a significant participant in the pursuit of those questions.  You may find it useful to limit your intrusions to helpful reminders about procedures (</w:t>
      </w:r>
      <w:r w:rsidRPr="00C9282F">
        <w:rPr>
          <w:rFonts w:eastAsia="Times New Roman" w:cs="Times New Roman"/>
          <w:i/>
          <w:iCs/>
          <w:kern w:val="0"/>
          <w:sz w:val="29"/>
          <w:szCs w:val="29"/>
          <w:bdr w:val="none" w:sz="0" w:space="0" w:color="auto" w:frame="1"/>
          <w14:ligatures w14:val="none"/>
        </w:rPr>
        <w:t>e.g.</w:t>
      </w:r>
      <w:r w:rsidRPr="00C9282F">
        <w:rPr>
          <w:rFonts w:eastAsia="Times New Roman" w:cs="Times New Roman"/>
          <w:kern w:val="0"/>
          <w:sz w:val="29"/>
          <w:szCs w:val="29"/>
          <w14:ligatures w14:val="none"/>
        </w:rPr>
        <w:t> “Maybe this is a good time to turn our attention back the text?”  “Do we feel ready to explore a different aspect of the text?”).  Resist the urge to correct or redirect, relying instead on other students to respectfully challenge their peers’ interpretations or offer alternative views.</w:t>
      </w:r>
    </w:p>
    <w:p w14:paraId="6BA4D41C" w14:textId="43AC916B" w:rsidR="00C9282F" w:rsidRPr="0091711B" w:rsidRDefault="00C9282F" w:rsidP="00C9282F">
      <w:pPr>
        <w:numPr>
          <w:ilvl w:val="0"/>
          <w:numId w:val="6"/>
        </w:numPr>
        <w:spacing w:before="100" w:beforeAutospacing="1" w:after="100" w:afterAutospacing="1" w:line="240" w:lineRule="auto"/>
        <w:textAlignment w:val="baseline"/>
        <w:rPr>
          <w:rFonts w:eastAsia="Times New Roman" w:cs="Times New Roman"/>
          <w:b/>
          <w:bCs/>
          <w:kern w:val="0"/>
          <w:sz w:val="29"/>
          <w:szCs w:val="29"/>
          <w14:ligatures w14:val="none"/>
        </w:rPr>
      </w:pPr>
      <w:r w:rsidRPr="0091711B">
        <w:rPr>
          <w:rFonts w:eastAsia="Times New Roman" w:cs="Times New Roman"/>
          <w:b/>
          <w:bCs/>
          <w:kern w:val="0"/>
          <w:sz w:val="29"/>
          <w:szCs w:val="29"/>
          <w:u w:val="single"/>
          <w:bdr w:val="none" w:sz="0" w:space="0" w:color="auto" w:frame="1"/>
          <w14:ligatures w14:val="none"/>
        </w:rPr>
        <w:t>Assessing effectiveness</w:t>
      </w:r>
      <w:r w:rsidRPr="00C9282F">
        <w:rPr>
          <w:rFonts w:eastAsia="Times New Roman" w:cs="Times New Roman"/>
          <w:kern w:val="0"/>
          <w:sz w:val="29"/>
          <w:szCs w:val="29"/>
          <w14:ligatures w14:val="none"/>
        </w:rPr>
        <w:t xml:space="preserve">: Socratic seminars require assessment that respects the central nature of student-centered inquiry to their success.  </w:t>
      </w:r>
      <w:r w:rsidRPr="0091711B">
        <w:rPr>
          <w:rFonts w:eastAsia="Times New Roman" w:cs="Times New Roman"/>
          <w:b/>
          <w:bCs/>
          <w:kern w:val="0"/>
          <w:sz w:val="29"/>
          <w:szCs w:val="29"/>
          <w:u w:val="single"/>
          <w14:ligatures w14:val="none"/>
        </w:rPr>
        <w:t>The most global measure of success is reflection</w:t>
      </w:r>
      <w:r w:rsidRPr="00C9282F">
        <w:rPr>
          <w:rFonts w:eastAsia="Times New Roman" w:cs="Times New Roman"/>
          <w:kern w:val="0"/>
          <w:sz w:val="29"/>
          <w:szCs w:val="29"/>
          <w14:ligatures w14:val="none"/>
        </w:rPr>
        <w:t xml:space="preserve">, both on the part of the teacher and students, on the degree to which text-centered student talk dominated the time and work of the session.  Reflective writing asking students to describe their participation and set their own goals for future seminars can be effective as well.  Understand that, like the seminars themselves, </w:t>
      </w:r>
      <w:r w:rsidRPr="0091711B">
        <w:rPr>
          <w:rFonts w:eastAsia="Times New Roman" w:cs="Times New Roman"/>
          <w:b/>
          <w:bCs/>
          <w:kern w:val="0"/>
          <w:sz w:val="29"/>
          <w:szCs w:val="29"/>
          <w:u w:val="single"/>
          <w14:ligatures w14:val="none"/>
        </w:rPr>
        <w:t xml:space="preserve">the process of gaining capacity for inquiring into text is more important than “getting it right” at any </w:t>
      </w:r>
      <w:proofErr w:type="gramStart"/>
      <w:r w:rsidRPr="0091711B">
        <w:rPr>
          <w:rFonts w:eastAsia="Times New Roman" w:cs="Times New Roman"/>
          <w:b/>
          <w:bCs/>
          <w:kern w:val="0"/>
          <w:sz w:val="29"/>
          <w:szCs w:val="29"/>
          <w:u w:val="single"/>
          <w14:ligatures w14:val="none"/>
        </w:rPr>
        <w:t>particular point</w:t>
      </w:r>
      <w:proofErr w:type="gramEnd"/>
      <w:r w:rsidRPr="0091711B">
        <w:rPr>
          <w:rFonts w:eastAsia="Times New Roman" w:cs="Times New Roman"/>
          <w:b/>
          <w:bCs/>
          <w:kern w:val="0"/>
          <w:sz w:val="29"/>
          <w:szCs w:val="29"/>
          <w14:ligatures w14:val="none"/>
        </w:rPr>
        <w:t>.</w:t>
      </w:r>
    </w:p>
    <w:sectPr w:rsidR="00C9282F" w:rsidRPr="0091711B" w:rsidSect="00C9282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0E4391"/>
    <w:multiLevelType w:val="multilevel"/>
    <w:tmpl w:val="84CE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970DB1"/>
    <w:multiLevelType w:val="multilevel"/>
    <w:tmpl w:val="E4CC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944DA5"/>
    <w:multiLevelType w:val="multilevel"/>
    <w:tmpl w:val="D8F6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1A4272"/>
    <w:multiLevelType w:val="multilevel"/>
    <w:tmpl w:val="8EE2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24597A"/>
    <w:multiLevelType w:val="multilevel"/>
    <w:tmpl w:val="D980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8E0C30"/>
    <w:multiLevelType w:val="multilevel"/>
    <w:tmpl w:val="728E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1156474">
    <w:abstractNumId w:val="1"/>
  </w:num>
  <w:num w:numId="2" w16cid:durableId="1287005984">
    <w:abstractNumId w:val="3"/>
  </w:num>
  <w:num w:numId="3" w16cid:durableId="6448340">
    <w:abstractNumId w:val="2"/>
  </w:num>
  <w:num w:numId="4" w16cid:durableId="1262909933">
    <w:abstractNumId w:val="5"/>
  </w:num>
  <w:num w:numId="5" w16cid:durableId="1885870381">
    <w:abstractNumId w:val="4"/>
  </w:num>
  <w:num w:numId="6" w16cid:durableId="2105147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2F"/>
    <w:rsid w:val="00754DC2"/>
    <w:rsid w:val="00774947"/>
    <w:rsid w:val="00777BF3"/>
    <w:rsid w:val="0091711B"/>
    <w:rsid w:val="009C26A5"/>
    <w:rsid w:val="00C16811"/>
    <w:rsid w:val="00C9282F"/>
    <w:rsid w:val="00FF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68CC"/>
  <w15:chartTrackingRefBased/>
  <w15:docId w15:val="{DF2AC1E3-4898-4961-9337-4302422A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8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928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928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28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928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28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28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28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28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8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928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928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28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928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28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28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28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282F"/>
    <w:rPr>
      <w:rFonts w:eastAsiaTheme="majorEastAsia" w:cstheme="majorBidi"/>
      <w:color w:val="272727" w:themeColor="text1" w:themeTint="D8"/>
    </w:rPr>
  </w:style>
  <w:style w:type="paragraph" w:styleId="Title">
    <w:name w:val="Title"/>
    <w:basedOn w:val="Normal"/>
    <w:next w:val="Normal"/>
    <w:link w:val="TitleChar"/>
    <w:uiPriority w:val="10"/>
    <w:qFormat/>
    <w:rsid w:val="00C928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8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28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28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282F"/>
    <w:pPr>
      <w:spacing w:before="160"/>
      <w:jc w:val="center"/>
    </w:pPr>
    <w:rPr>
      <w:i/>
      <w:iCs/>
      <w:color w:val="404040" w:themeColor="text1" w:themeTint="BF"/>
    </w:rPr>
  </w:style>
  <w:style w:type="character" w:customStyle="1" w:styleId="QuoteChar">
    <w:name w:val="Quote Char"/>
    <w:basedOn w:val="DefaultParagraphFont"/>
    <w:link w:val="Quote"/>
    <w:uiPriority w:val="29"/>
    <w:rsid w:val="00C9282F"/>
    <w:rPr>
      <w:i/>
      <w:iCs/>
      <w:color w:val="404040" w:themeColor="text1" w:themeTint="BF"/>
    </w:rPr>
  </w:style>
  <w:style w:type="paragraph" w:styleId="ListParagraph">
    <w:name w:val="List Paragraph"/>
    <w:basedOn w:val="Normal"/>
    <w:uiPriority w:val="34"/>
    <w:qFormat/>
    <w:rsid w:val="00C9282F"/>
    <w:pPr>
      <w:ind w:left="720"/>
      <w:contextualSpacing/>
    </w:pPr>
  </w:style>
  <w:style w:type="character" w:styleId="IntenseEmphasis">
    <w:name w:val="Intense Emphasis"/>
    <w:basedOn w:val="DefaultParagraphFont"/>
    <w:uiPriority w:val="21"/>
    <w:qFormat/>
    <w:rsid w:val="00C9282F"/>
    <w:rPr>
      <w:i/>
      <w:iCs/>
      <w:color w:val="0F4761" w:themeColor="accent1" w:themeShade="BF"/>
    </w:rPr>
  </w:style>
  <w:style w:type="paragraph" w:styleId="IntenseQuote">
    <w:name w:val="Intense Quote"/>
    <w:basedOn w:val="Normal"/>
    <w:next w:val="Normal"/>
    <w:link w:val="IntenseQuoteChar"/>
    <w:uiPriority w:val="30"/>
    <w:qFormat/>
    <w:rsid w:val="00C928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282F"/>
    <w:rPr>
      <w:i/>
      <w:iCs/>
      <w:color w:val="0F4761" w:themeColor="accent1" w:themeShade="BF"/>
    </w:rPr>
  </w:style>
  <w:style w:type="character" w:styleId="IntenseReference">
    <w:name w:val="Intense Reference"/>
    <w:basedOn w:val="DefaultParagraphFont"/>
    <w:uiPriority w:val="32"/>
    <w:qFormat/>
    <w:rsid w:val="00C9282F"/>
    <w:rPr>
      <w:b/>
      <w:bCs/>
      <w:smallCaps/>
      <w:color w:val="0F4761" w:themeColor="accent1" w:themeShade="BF"/>
      <w:spacing w:val="5"/>
    </w:rPr>
  </w:style>
  <w:style w:type="character" w:styleId="Emphasis">
    <w:name w:val="Emphasis"/>
    <w:basedOn w:val="DefaultParagraphFont"/>
    <w:uiPriority w:val="20"/>
    <w:qFormat/>
    <w:rsid w:val="00C9282F"/>
    <w:rPr>
      <w:i/>
      <w:iCs/>
    </w:rPr>
  </w:style>
  <w:style w:type="paragraph" w:styleId="NormalWeb">
    <w:name w:val="Normal (Web)"/>
    <w:basedOn w:val="Normal"/>
    <w:uiPriority w:val="99"/>
    <w:semiHidden/>
    <w:unhideWhenUsed/>
    <w:rsid w:val="00C928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928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0984777">
      <w:bodyDiv w:val="1"/>
      <w:marLeft w:val="0"/>
      <w:marRight w:val="0"/>
      <w:marTop w:val="0"/>
      <w:marBottom w:val="0"/>
      <w:divBdr>
        <w:top w:val="none" w:sz="0" w:space="0" w:color="auto"/>
        <w:left w:val="none" w:sz="0" w:space="0" w:color="auto"/>
        <w:bottom w:val="none" w:sz="0" w:space="0" w:color="auto"/>
        <w:right w:val="none" w:sz="0" w:space="0" w:color="auto"/>
      </w:divBdr>
    </w:div>
    <w:div w:id="1351838912">
      <w:bodyDiv w:val="1"/>
      <w:marLeft w:val="0"/>
      <w:marRight w:val="0"/>
      <w:marTop w:val="0"/>
      <w:marBottom w:val="0"/>
      <w:divBdr>
        <w:top w:val="none" w:sz="0" w:space="0" w:color="auto"/>
        <w:left w:val="none" w:sz="0" w:space="0" w:color="auto"/>
        <w:bottom w:val="none" w:sz="0" w:space="0" w:color="auto"/>
        <w:right w:val="none" w:sz="0" w:space="0" w:color="auto"/>
      </w:divBdr>
      <w:divsChild>
        <w:div w:id="460803993">
          <w:marLeft w:val="0"/>
          <w:marRight w:val="0"/>
          <w:marTop w:val="0"/>
          <w:marBottom w:val="0"/>
          <w:divBdr>
            <w:top w:val="single" w:sz="6" w:space="0" w:color="8E8E8E"/>
            <w:left w:val="none" w:sz="0" w:space="0" w:color="auto"/>
            <w:bottom w:val="none" w:sz="0" w:space="0" w:color="auto"/>
            <w:right w:val="none" w:sz="0" w:space="0" w:color="auto"/>
          </w:divBdr>
          <w:divsChild>
            <w:div w:id="1216821236">
              <w:marLeft w:val="0"/>
              <w:marRight w:val="0"/>
              <w:marTop w:val="0"/>
              <w:marBottom w:val="0"/>
              <w:divBdr>
                <w:top w:val="none" w:sz="0" w:space="0" w:color="auto"/>
                <w:left w:val="none" w:sz="0" w:space="0" w:color="auto"/>
                <w:bottom w:val="none" w:sz="0" w:space="0" w:color="auto"/>
                <w:right w:val="none" w:sz="0" w:space="0" w:color="auto"/>
              </w:divBdr>
            </w:div>
          </w:divsChild>
        </w:div>
        <w:div w:id="1257203321">
          <w:marLeft w:val="0"/>
          <w:marRight w:val="0"/>
          <w:marTop w:val="0"/>
          <w:marBottom w:val="0"/>
          <w:divBdr>
            <w:top w:val="single" w:sz="6" w:space="0" w:color="8E8E8E"/>
            <w:left w:val="none" w:sz="0" w:space="0" w:color="auto"/>
            <w:bottom w:val="none" w:sz="0" w:space="0" w:color="auto"/>
            <w:right w:val="none" w:sz="0" w:space="0" w:color="auto"/>
          </w:divBdr>
          <w:divsChild>
            <w:div w:id="17339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DC4D0-7115-44D0-85AF-C37306B3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DeFuria</dc:creator>
  <cp:keywords/>
  <dc:description/>
  <cp:lastModifiedBy>Dina Ioannidis</cp:lastModifiedBy>
  <cp:revision>2</cp:revision>
  <dcterms:created xsi:type="dcterms:W3CDTF">2024-07-02T13:55:00Z</dcterms:created>
  <dcterms:modified xsi:type="dcterms:W3CDTF">2024-07-02T13:55:00Z</dcterms:modified>
</cp:coreProperties>
</file>